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 w:left="8931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Додаток</w:t>
      </w:r>
      <w:r>
        <w:rPr>
          <w:sz w:val="28"/>
          <w:szCs w:val="28"/>
        </w:rPr>
        <w:t xml:space="preserve"> 3</w:t>
      </w:r>
      <w:r>
        <w:rPr>
          <w:sz w:val="28"/>
          <w:szCs w:val="28"/>
          <w:lang w:val="ru-RU"/>
        </w:rPr>
      </w:r>
    </w:p>
    <w:p>
      <w:pPr>
        <w:pStyle w:val="706"/>
        <w:pBdr/>
        <w:spacing/>
        <w:ind w:left="893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</w:t>
      </w:r>
      <w:r>
        <w:rPr>
          <w:sz w:val="28"/>
        </w:rPr>
        <w:t xml:space="preserve">Обласної програми охорони та збереження пам’яток архітектури, містобудування та садово-паркового мистецтва Чернігівської області на 2025-2030 роки</w:t>
      </w:r>
      <w:r>
        <w:rPr>
          <w:sz w:val="28"/>
          <w:szCs w:val="28"/>
        </w:rPr>
      </w:r>
    </w:p>
    <w:p>
      <w:pPr>
        <w:pStyle w:val="706"/>
        <w:pBdr/>
        <w:spacing/>
        <w:ind w:left="893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5103"/>
        </w:tabs>
        <w:spacing/>
        <w:ind w:firstLine="708"/>
        <w:jc w:val="center"/>
        <w:rPr>
          <w:b/>
          <w:sz w:val="28"/>
          <w:szCs w:val="28"/>
        </w:rPr>
      </w:pPr>
      <w:r>
        <w:rPr>
          <w:b/>
          <w:spacing w:val="-13"/>
          <w:sz w:val="28"/>
          <w:szCs w:val="28"/>
        </w:rPr>
        <w:t xml:space="preserve">Результативні показники</w:t>
      </w:r>
      <w:r>
        <w:rPr>
          <w:b/>
          <w:spacing w:val="-13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Обласної програми охорони та збереження пам’яток архітектури, містобудування та садово-паркового мистецтва Чернігівської області на 2025-2030 роки</w:t>
      </w:r>
      <w:r>
        <w:rPr>
          <w:b/>
          <w:sz w:val="28"/>
          <w:szCs w:val="28"/>
        </w:rPr>
      </w:r>
    </w:p>
    <w:p>
      <w:pPr>
        <w:pBdr/>
        <w:tabs>
          <w:tab w:val="left" w:leader="none" w:pos="5103"/>
        </w:tabs>
        <w:spacing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5103"/>
        </w:tabs>
        <w:spacing/>
        <w:ind w:firstLine="70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одиниць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</w:r>
    </w:p>
    <w:tbl>
      <w:tblPr>
        <w:tblW w:w="14884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6690"/>
        <w:gridCol w:w="1275"/>
        <w:gridCol w:w="1276"/>
        <w:gridCol w:w="1276"/>
        <w:gridCol w:w="1276"/>
        <w:gridCol w:w="1275"/>
        <w:gridCol w:w="1276"/>
      </w:tblGrid>
      <w:tr>
        <w:trPr>
          <w:trHeight w:val="514"/>
        </w:trPr>
        <w:tc>
          <w:tcPr>
            <w:tcBorders/>
            <w:tcW w:w="540" w:type="dxa"/>
            <w:textDirection w:val="lrTb"/>
            <w:noWrap w:val="false"/>
          </w:tcPr>
          <w:p>
            <w:pPr>
              <w:pBdr/>
              <w:spacing/>
              <w:ind w:right="-140" w:left="-13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6690" w:type="dxa"/>
            <w:textDirection w:val="lrTb"/>
            <w:noWrap w:val="false"/>
          </w:tcPr>
          <w:p>
            <w:pPr>
              <w:pBdr/>
              <w:tabs>
                <w:tab w:val="left" w:leader="none" w:pos="3768"/>
              </w:tabs>
              <w:spacing/>
              <w:ind w:left="-13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1275" w:type="dxa"/>
            <w:textDirection w:val="lrTb"/>
            <w:noWrap w:val="false"/>
          </w:tcPr>
          <w:p>
            <w:pPr>
              <w:pBdr/>
              <w:spacing/>
              <w:ind w:right="-140" w:left="-1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2025 рік</w:t>
            </w:r>
            <w:r>
              <w:rPr>
                <w:b/>
                <w:sz w:val="24"/>
                <w:szCs w:val="24"/>
              </w:rPr>
              <w:br/>
              <w:t xml:space="preserve">(прогноз)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 w:right="-140" w:left="-1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2026 рік (прогноз)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 w:right="-140" w:left="-1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2027 рік (прогноз)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 w:right="-140" w:left="-1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2028 рік (прогноз)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1275" w:type="dxa"/>
            <w:textDirection w:val="lrTb"/>
            <w:noWrap w:val="false"/>
          </w:tcPr>
          <w:p>
            <w:pPr>
              <w:pBdr/>
              <w:spacing/>
              <w:ind w:right="-140" w:left="-1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2029 рік</w:t>
            </w:r>
            <w:r>
              <w:rPr>
                <w:b/>
                <w:sz w:val="24"/>
                <w:szCs w:val="24"/>
              </w:rPr>
              <w:br/>
              <w:t xml:space="preserve">(прогноз)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 w:right="-140" w:left="-1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2030 рік</w:t>
            </w:r>
            <w:r>
              <w:rPr>
                <w:b/>
                <w:sz w:val="24"/>
                <w:szCs w:val="24"/>
              </w:rPr>
              <w:br/>
              <w:t xml:space="preserve">(прогноз)</w:t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6690" w:type="dxa"/>
            <w:textDirection w:val="lrTb"/>
            <w:noWrap w:val="false"/>
          </w:tcPr>
          <w:p>
            <w:pPr>
              <w:pStyle w:val="706"/>
              <w:pBdr/>
              <w:tabs>
                <w:tab w:val="left" w:leader="none" w:pos="3768"/>
              </w:tabs>
              <w:spacing/>
              <w:ind/>
              <w:jc w:val="both"/>
              <w:rPr/>
            </w:pPr>
            <w:r>
              <w:t xml:space="preserve">Кількість виявлених об’єктів культурної спадщини</w:t>
            </w:r>
            <w:r/>
          </w:p>
        </w:tc>
        <w:tc>
          <w:tcPr>
            <w:tcBorders/>
            <w:tcW w:w="12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2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6690" w:type="dxa"/>
            <w:textDirection w:val="lrTb"/>
            <w:noWrap w:val="false"/>
          </w:tcPr>
          <w:p>
            <w:pPr>
              <w:pStyle w:val="706"/>
              <w:pBdr/>
              <w:tabs>
                <w:tab w:val="left" w:leader="none" w:pos="3768"/>
              </w:tabs>
              <w:spacing/>
              <w:ind/>
              <w:jc w:val="both"/>
              <w:rPr/>
            </w:pPr>
            <w:r>
              <w:t xml:space="preserve">Кількість виготовлених облікових карток</w:t>
            </w:r>
            <w:r/>
          </w:p>
        </w:tc>
        <w:tc>
          <w:tcPr>
            <w:tcBorders/>
            <w:tcW w:w="12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2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6690" w:type="dxa"/>
            <w:textDirection w:val="lrTb"/>
            <w:noWrap w:val="false"/>
          </w:tcPr>
          <w:p>
            <w:pPr>
              <w:pStyle w:val="706"/>
              <w:pBdr/>
              <w:tabs>
                <w:tab w:val="left" w:leader="none" w:pos="3768"/>
              </w:tabs>
              <w:spacing/>
              <w:ind/>
              <w:jc w:val="both"/>
              <w:rPr/>
            </w:pPr>
            <w:r>
              <w:t xml:space="preserve">Кількість пам’яток, занесених протягом року до Державного реєстру нерухомих пам’яток України</w:t>
            </w:r>
            <w:r/>
          </w:p>
        </w:tc>
        <w:tc>
          <w:tcPr>
            <w:tcBorders/>
            <w:tcW w:w="12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93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2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6690" w:type="dxa"/>
            <w:textDirection w:val="lrTb"/>
            <w:noWrap w:val="false"/>
          </w:tcPr>
          <w:p>
            <w:pPr>
              <w:pStyle w:val="706"/>
              <w:pBdr/>
              <w:tabs>
                <w:tab w:val="left" w:leader="none" w:pos="3768"/>
              </w:tabs>
              <w:spacing/>
              <w:ind/>
              <w:jc w:val="both"/>
              <w:rPr/>
            </w:pPr>
            <w:r>
              <w:t xml:space="preserve">Кількість інформаційних довідок за результатами постійного моніторингу</w:t>
            </w:r>
            <w:r/>
          </w:p>
        </w:tc>
        <w:tc>
          <w:tcPr>
            <w:tcBorders/>
            <w:tcW w:w="12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313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316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319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322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2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325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328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6690" w:type="dxa"/>
            <w:textDirection w:val="lrTb"/>
            <w:noWrap w:val="false"/>
          </w:tcPr>
          <w:p>
            <w:pPr>
              <w:pStyle w:val="706"/>
              <w:pBdr/>
              <w:tabs>
                <w:tab w:val="left" w:leader="none" w:pos="3768"/>
              </w:tabs>
              <w:spacing/>
              <w:ind/>
              <w:jc w:val="both"/>
              <w:rPr/>
            </w:pPr>
            <w:r>
              <w:t xml:space="preserve">Кількість актів візуального обстеження за результатами періодичного моніторингу</w:t>
            </w:r>
            <w:r/>
          </w:p>
        </w:tc>
        <w:tc>
          <w:tcPr>
            <w:tcBorders/>
            <w:tcW w:w="12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2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6690" w:type="dxa"/>
            <w:textDirection w:val="lrTb"/>
            <w:noWrap w:val="false"/>
          </w:tcPr>
          <w:p>
            <w:pPr>
              <w:pStyle w:val="706"/>
              <w:pBdr/>
              <w:tabs>
                <w:tab w:val="left" w:leader="none" w:pos="3768"/>
              </w:tabs>
              <w:spacing/>
              <w:ind/>
              <w:jc w:val="both"/>
              <w:rPr/>
            </w:pPr>
            <w:r>
              <w:t xml:space="preserve">Кількість паспортів пам’яток</w:t>
            </w:r>
            <w:r/>
          </w:p>
        </w:tc>
        <w:tc>
          <w:tcPr>
            <w:tcBorders/>
            <w:tcW w:w="12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2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6690" w:type="dxa"/>
            <w:textDirection w:val="lrTb"/>
            <w:noWrap w:val="false"/>
          </w:tcPr>
          <w:p>
            <w:pPr>
              <w:pStyle w:val="706"/>
              <w:pBdr/>
              <w:tabs>
                <w:tab w:val="left" w:leader="none" w:pos="3768"/>
              </w:tabs>
              <w:spacing/>
              <w:ind/>
              <w:jc w:val="both"/>
              <w:rPr/>
            </w:pPr>
            <w:r>
              <w:t xml:space="preserve">Кількість сформованих облікових справ</w:t>
            </w:r>
            <w:r/>
          </w:p>
        </w:tc>
        <w:tc>
          <w:tcPr>
            <w:tcBorders/>
            <w:tcW w:w="12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sz w:val="24"/>
                <w:szCs w:val="24"/>
              </w:rPr>
              <w:t xml:space="preserve">25</w:t>
            </w:r>
            <w:r/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sz w:val="24"/>
                <w:szCs w:val="24"/>
              </w:rPr>
              <w:t xml:space="preserve">25</w:t>
            </w:r>
            <w:r/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sz w:val="24"/>
                <w:szCs w:val="24"/>
              </w:rPr>
              <w:t xml:space="preserve">25</w:t>
            </w:r>
            <w:r/>
          </w:p>
        </w:tc>
        <w:tc>
          <w:tcPr>
            <w:tcBorders/>
            <w:tcW w:w="12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sz w:val="24"/>
                <w:szCs w:val="24"/>
              </w:rPr>
              <w:t xml:space="preserve">25</w:t>
            </w:r>
            <w:r/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sz w:val="24"/>
                <w:szCs w:val="24"/>
              </w:rPr>
              <w:t xml:space="preserve">25</w:t>
            </w:r>
            <w:r/>
          </w:p>
        </w:tc>
      </w:tr>
      <w:tr>
        <w:trPr/>
        <w:tc>
          <w:tcPr>
            <w:tcBorders/>
            <w:tcW w:w="5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6690" w:type="dxa"/>
            <w:textDirection w:val="lrTb"/>
            <w:noWrap w:val="false"/>
          </w:tcPr>
          <w:p>
            <w:pPr>
              <w:pStyle w:val="706"/>
              <w:pBdr/>
              <w:tabs>
                <w:tab w:val="left" w:leader="none" w:pos="3768"/>
              </w:tabs>
              <w:spacing/>
              <w:ind/>
              <w:jc w:val="both"/>
              <w:rPr>
                <w:lang w:val="ru-RU"/>
              </w:rPr>
            </w:pPr>
            <w:r>
              <w:t xml:space="preserve">Кількість </w:t>
            </w:r>
            <w:r>
              <w:t xml:space="preserve">виготовлених</w:t>
            </w:r>
            <w:r>
              <w:rPr>
                <w:lang w:val="ru-RU"/>
              </w:rPr>
              <w:t xml:space="preserve"> </w:t>
            </w:r>
            <w:r>
              <w:t xml:space="preserve">охоронних дощок і охоронних знаків</w:t>
            </w:r>
            <w:r>
              <w:rPr>
                <w:lang w:val="ru-RU"/>
              </w:rPr>
            </w:r>
          </w:p>
        </w:tc>
        <w:tc>
          <w:tcPr>
            <w:tcBorders/>
            <w:tcW w:w="12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55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55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55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55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/>
            <w:tcW w:w="12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55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53</w:t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Borders/>
            <w:tcW w:w="5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6690" w:type="dxa"/>
            <w:textDirection w:val="lrTb"/>
            <w:noWrap w:val="false"/>
          </w:tcPr>
          <w:p>
            <w:pPr>
              <w:pStyle w:val="706"/>
              <w:pBdr/>
              <w:tabs>
                <w:tab w:val="left" w:leader="none" w:pos="3768"/>
              </w:tabs>
              <w:spacing/>
              <w:ind/>
              <w:jc w:val="both"/>
              <w:rPr>
                <w:lang w:val="ru-RU"/>
              </w:rPr>
            </w:pPr>
            <w:r>
              <w:t xml:space="preserve">Кількість </w:t>
            </w:r>
            <w:r>
              <w:rPr>
                <w:lang w:val="ru-RU"/>
              </w:rPr>
              <w:t xml:space="preserve">встановлених </w:t>
            </w:r>
            <w:r>
              <w:t xml:space="preserve">охоронних дощок і охоронних знаків</w:t>
            </w:r>
            <w:r>
              <w:rPr>
                <w:lang w:val="ru-RU"/>
              </w:rPr>
            </w:r>
          </w:p>
        </w:tc>
        <w:tc>
          <w:tcPr>
            <w:tcBorders/>
            <w:tcW w:w="12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55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55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55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55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/>
            <w:tcW w:w="12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55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53</w:t>
            </w:r>
            <w:r>
              <w:rPr>
                <w:sz w:val="24"/>
                <w:szCs w:val="24"/>
                <w:lang w:val="ru-RU"/>
              </w:rPr>
            </w:r>
          </w:p>
        </w:tc>
      </w:tr>
    </w:tbl>
    <w:p>
      <w:pPr>
        <w:pBdr/>
        <w:tabs>
          <w:tab w:val="left" w:leader="none" w:pos="5103"/>
        </w:tabs>
        <w:spacing/>
        <w:ind/>
        <w:jc w:val="center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</w:r>
      <w:r>
        <w:rPr>
          <w:color w:val="000000"/>
          <w:spacing w:val="-2"/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В. о.</w:t>
      </w:r>
      <w:r>
        <w:rPr>
          <w:sz w:val="28"/>
          <w:szCs w:val="28"/>
        </w:rPr>
        <w:t xml:space="preserve"> начальника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правління </w:t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містобудування та архітектури</w:t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Чернігівської обл</w:t>
      </w:r>
      <w:r>
        <w:rPr>
          <w:sz w:val="28"/>
          <w:szCs w:val="28"/>
        </w:rPr>
        <w:t xml:space="preserve">асної</w:t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держ</w:t>
      </w:r>
      <w:r>
        <w:rPr>
          <w:sz w:val="28"/>
          <w:szCs w:val="28"/>
        </w:rPr>
        <w:t xml:space="preserve">авної </w:t>
      </w:r>
      <w:r>
        <w:rPr>
          <w:sz w:val="28"/>
          <w:szCs w:val="28"/>
        </w:rPr>
        <w:t xml:space="preserve">адміністрації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Сергій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КУРЕНЯ</w:t>
      </w:r>
      <w:r>
        <w:rPr>
          <w:sz w:val="28"/>
          <w:szCs w:val="28"/>
        </w:rPr>
      </w:r>
    </w:p>
    <w:sectPr>
      <w:headerReference w:type="even" r:id="rId9"/>
      <w:footnotePr/>
      <w:endnotePr/>
      <w:type w:val="nextPage"/>
      <w:pgSz w:h="11906" w:orient="landscape" w:w="16838"/>
      <w:pgMar w:top="1134" w:right="962" w:bottom="993" w:left="1418" w:header="284" w:footer="720" w:gutter="0"/>
      <w:cols w:num="1" w:sep="0" w:space="720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Calibri">
    <w:panose1 w:val="020F0502020204030204"/>
  </w:font>
  <w:font w:name="Cambria">
    <w:panose1 w:val="02040503050406030204"/>
  </w:font>
  <w:font w:name="Calibri Light">
    <w:panose1 w:val="020F0502020204030204"/>
  </w:font>
  <w:font w:name="Arial">
    <w:panose1 w:val="020B0604020202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0"/>
      <w:framePr w:hAnchor="margin" w:vAnchor="text" w:wrap="around" w:xAlign="center" w:y="1"/>
      <w:pBdr/>
      <w:spacing/>
      <w:ind/>
      <w:rPr>
        <w:rStyle w:val="691"/>
      </w:rPr>
    </w:pPr>
    <w:r>
      <w:rPr>
        <w:rStyle w:val="691"/>
      </w:rPr>
      <w:fldChar w:fldCharType="begin"/>
    </w:r>
    <w:r>
      <w:rPr>
        <w:rStyle w:val="691"/>
      </w:rPr>
      <w:instrText xml:space="preserve">PAGE  </w:instrText>
    </w:r>
    <w:r>
      <w:rPr>
        <w:rStyle w:val="691"/>
      </w:rPr>
      <w:fldChar w:fldCharType="end"/>
    </w:r>
    <w:r>
      <w:rPr>
        <w:rStyle w:val="691"/>
      </w:rPr>
    </w:r>
  </w:p>
  <w:p>
    <w:pPr>
      <w:pStyle w:val="690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uk-UA" w:eastAsia="uk-UA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68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8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8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1">
    <w:name w:val="Heading 4"/>
    <w:basedOn w:val="683"/>
    <w:next w:val="683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83"/>
    <w:next w:val="683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83"/>
    <w:next w:val="683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83"/>
    <w:next w:val="683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83"/>
    <w:next w:val="683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83"/>
    <w:next w:val="683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87"/>
    <w:link w:val="68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87"/>
    <w:link w:val="68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87"/>
    <w:link w:val="68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8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8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8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8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8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8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687"/>
    <w:link w:val="70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83"/>
    <w:next w:val="683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8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83"/>
    <w:next w:val="683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8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68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83"/>
    <w:next w:val="683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8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8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68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Strong"/>
    <w:basedOn w:val="68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8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8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687"/>
    <w:link w:val="690"/>
    <w:uiPriority w:val="99"/>
    <w:pPr>
      <w:pBdr/>
      <w:spacing/>
      <w:ind/>
    </w:pPr>
  </w:style>
  <w:style w:type="character" w:styleId="178">
    <w:name w:val="Footer Char"/>
    <w:basedOn w:val="687"/>
    <w:link w:val="692"/>
    <w:uiPriority w:val="99"/>
    <w:pPr>
      <w:pBdr/>
      <w:spacing/>
      <w:ind/>
    </w:pPr>
  </w:style>
  <w:style w:type="paragraph" w:styleId="179">
    <w:name w:val="Caption"/>
    <w:basedOn w:val="683"/>
    <w:next w:val="68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83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8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8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83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8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87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FollowedHyperlink"/>
    <w:basedOn w:val="68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83"/>
    <w:next w:val="683"/>
    <w:uiPriority w:val="99"/>
    <w:unhideWhenUsed/>
    <w:pPr>
      <w:pBdr/>
      <w:spacing w:after="0" w:afterAutospacing="0"/>
      <w:ind/>
    </w:pPr>
  </w:style>
  <w:style w:type="paragraph" w:styleId="683" w:default="1">
    <w:name w:val="Normal"/>
    <w:qFormat/>
    <w:pPr>
      <w:pBdr/>
      <w:spacing/>
      <w:ind/>
    </w:pPr>
    <w:rPr>
      <w:lang w:eastAsia="ru-RU"/>
    </w:rPr>
  </w:style>
  <w:style w:type="paragraph" w:styleId="684">
    <w:name w:val="Heading 1"/>
    <w:basedOn w:val="683"/>
    <w:next w:val="683"/>
    <w:qFormat/>
    <w:pPr>
      <w:keepNext w:val="true"/>
      <w:pBdr/>
      <w:spacing/>
      <w:ind w:hanging="11"/>
      <w:jc w:val="center"/>
      <w:outlineLvl w:val="0"/>
    </w:pPr>
    <w:rPr>
      <w:b/>
      <w:i/>
      <w:sz w:val="28"/>
    </w:rPr>
  </w:style>
  <w:style w:type="paragraph" w:styleId="685">
    <w:name w:val="Heading 2"/>
    <w:basedOn w:val="683"/>
    <w:next w:val="683"/>
    <w:link w:val="695"/>
    <w:semiHidden/>
    <w:unhideWhenUsed/>
    <w:qFormat/>
    <w:pPr>
      <w:keepNext w:val="true"/>
      <w:pBdr/>
      <w:spacing w:after="60" w:before="240"/>
      <w:ind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686">
    <w:name w:val="Heading 3"/>
    <w:basedOn w:val="683"/>
    <w:next w:val="683"/>
    <w:link w:val="700"/>
    <w:unhideWhenUsed/>
    <w:qFormat/>
    <w:pPr>
      <w:keepNext w:val="true"/>
      <w:pBdr/>
      <w:spacing w:after="60" w:before="240"/>
      <w:ind/>
      <w:outlineLvl w:val="2"/>
    </w:pPr>
    <w:rPr>
      <w:rFonts w:ascii="Cambria" w:hAnsi="Cambria"/>
      <w:b/>
      <w:bCs/>
      <w:sz w:val="26"/>
      <w:szCs w:val="26"/>
      <w:lang w:val="ru-RU"/>
    </w:rPr>
  </w:style>
  <w:style w:type="character" w:styleId="687" w:default="1">
    <w:name w:val="Default Paragraph Font"/>
    <w:uiPriority w:val="1"/>
    <w:semiHidden/>
    <w:unhideWhenUsed/>
    <w:pPr>
      <w:pBdr/>
      <w:spacing/>
      <w:ind/>
    </w:pPr>
  </w:style>
  <w:style w:type="table" w:styleId="688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89" w:default="1">
    <w:name w:val="No List"/>
    <w:uiPriority w:val="99"/>
    <w:semiHidden/>
    <w:unhideWhenUsed/>
    <w:pPr>
      <w:pBdr/>
      <w:spacing/>
      <w:ind/>
    </w:pPr>
  </w:style>
  <w:style w:type="paragraph" w:styleId="690">
    <w:name w:val="Header"/>
    <w:basedOn w:val="683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691">
    <w:name w:val="page number"/>
    <w:basedOn w:val="687"/>
    <w:pPr>
      <w:pBdr/>
      <w:spacing/>
      <w:ind/>
    </w:pPr>
  </w:style>
  <w:style w:type="paragraph" w:styleId="692">
    <w:name w:val="Footer"/>
    <w:basedOn w:val="683"/>
    <w:pPr>
      <w:pBdr/>
      <w:tabs>
        <w:tab w:val="center" w:leader="none" w:pos="4677"/>
        <w:tab w:val="right" w:leader="none" w:pos="9355"/>
      </w:tabs>
      <w:spacing/>
      <w:ind/>
    </w:pPr>
  </w:style>
  <w:style w:type="paragraph" w:styleId="693">
    <w:name w:val="Body Text"/>
    <w:basedOn w:val="683"/>
    <w:link w:val="694"/>
    <w:pPr>
      <w:pBdr/>
      <w:spacing/>
      <w:ind/>
      <w:jc w:val="both"/>
    </w:pPr>
    <w:rPr>
      <w:sz w:val="28"/>
      <w:szCs w:val="28"/>
    </w:rPr>
  </w:style>
  <w:style w:type="character" w:styleId="694" w:customStyle="1">
    <w:name w:val="Основной текст Знак"/>
    <w:link w:val="693"/>
    <w:pPr>
      <w:pBdr/>
      <w:spacing/>
      <w:ind/>
    </w:pPr>
    <w:rPr>
      <w:sz w:val="28"/>
      <w:szCs w:val="28"/>
      <w:lang w:val="uk-UA" w:eastAsia="ru-RU" w:bidi="ar-SA"/>
    </w:rPr>
  </w:style>
  <w:style w:type="character" w:styleId="695" w:customStyle="1">
    <w:name w:val="Заголовок 2 Знак"/>
    <w:link w:val="685"/>
    <w:semiHidden/>
    <w:pPr>
      <w:pBdr/>
      <w:spacing/>
      <w:ind/>
    </w:pPr>
    <w:rPr>
      <w:rFonts w:ascii="Calibri Light" w:hAnsi="Calibri Light"/>
      <w:b/>
      <w:bCs/>
      <w:i/>
      <w:iCs/>
      <w:sz w:val="28"/>
      <w:szCs w:val="28"/>
      <w:lang w:eastAsia="ru-RU"/>
    </w:rPr>
  </w:style>
  <w:style w:type="character" w:styleId="696">
    <w:name w:val="Hyperlink"/>
    <w:uiPriority w:val="99"/>
    <w:unhideWhenUsed/>
    <w:pPr>
      <w:pBdr/>
      <w:spacing/>
      <w:ind/>
    </w:pPr>
    <w:rPr>
      <w:color w:val="0000ff"/>
      <w:u w:val="single"/>
    </w:rPr>
  </w:style>
  <w:style w:type="paragraph" w:styleId="697">
    <w:name w:val="No Spacing"/>
    <w:uiPriority w:val="1"/>
    <w:qFormat/>
    <w:pPr>
      <w:pBdr/>
      <w:spacing/>
      <w:ind/>
    </w:pPr>
    <w:rPr>
      <w:rFonts w:ascii="Calibri" w:hAnsi="Calibri" w:eastAsia="Calibri"/>
      <w:sz w:val="22"/>
      <w:szCs w:val="22"/>
      <w:lang w:eastAsia="en-US"/>
    </w:rPr>
  </w:style>
  <w:style w:type="paragraph" w:styleId="698">
    <w:name w:val="Balloon Text"/>
    <w:basedOn w:val="683"/>
    <w:link w:val="699"/>
    <w:pPr>
      <w:pBdr/>
      <w:spacing/>
      <w:ind/>
    </w:pPr>
    <w:rPr>
      <w:rFonts w:ascii="Segoe UI" w:hAnsi="Segoe UI"/>
      <w:sz w:val="18"/>
      <w:szCs w:val="18"/>
    </w:rPr>
  </w:style>
  <w:style w:type="character" w:styleId="699" w:customStyle="1">
    <w:name w:val="Текст выноски Знак"/>
    <w:link w:val="698"/>
    <w:pPr>
      <w:pBdr/>
      <w:spacing/>
      <w:ind/>
    </w:pPr>
    <w:rPr>
      <w:rFonts w:ascii="Segoe UI" w:hAnsi="Segoe UI" w:cs="Segoe UI"/>
      <w:sz w:val="18"/>
      <w:szCs w:val="18"/>
      <w:lang w:eastAsia="ru-RU"/>
    </w:rPr>
  </w:style>
  <w:style w:type="character" w:styleId="700" w:customStyle="1">
    <w:name w:val="Заголовок 3 Знак"/>
    <w:link w:val="686"/>
    <w:pPr>
      <w:pBdr/>
      <w:spacing/>
      <w:ind/>
    </w:pPr>
    <w:rPr>
      <w:rFonts w:ascii="Cambria" w:hAnsi="Cambria"/>
      <w:b/>
      <w:bCs/>
      <w:sz w:val="26"/>
      <w:szCs w:val="26"/>
      <w:lang w:val="ru-RU" w:eastAsia="ru-RU"/>
    </w:rPr>
  </w:style>
  <w:style w:type="character" w:styleId="701">
    <w:name w:val="Emphasis"/>
    <w:uiPriority w:val="20"/>
    <w:qFormat/>
    <w:pPr>
      <w:pBdr/>
      <w:spacing/>
      <w:ind/>
    </w:pPr>
    <w:rPr>
      <w:i/>
      <w:iCs/>
    </w:rPr>
  </w:style>
  <w:style w:type="table" w:styleId="702">
    <w:name w:val="Table Grid"/>
    <w:basedOn w:val="688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03">
    <w:name w:val="Title"/>
    <w:basedOn w:val="683"/>
    <w:link w:val="704"/>
    <w:qFormat/>
    <w:pPr>
      <w:pBdr/>
      <w:spacing/>
      <w:ind/>
      <w:jc w:val="center"/>
    </w:pPr>
    <w:rPr>
      <w:b/>
      <w:bCs/>
      <w:sz w:val="24"/>
      <w:szCs w:val="24"/>
    </w:rPr>
  </w:style>
  <w:style w:type="character" w:styleId="704" w:customStyle="1">
    <w:name w:val="Название Знак"/>
    <w:basedOn w:val="687"/>
    <w:link w:val="703"/>
    <w:pPr>
      <w:pBdr/>
      <w:spacing/>
      <w:ind/>
    </w:pPr>
    <w:rPr>
      <w:b/>
      <w:bCs/>
      <w:sz w:val="24"/>
      <w:szCs w:val="24"/>
      <w:lang w:eastAsia="ru-RU"/>
    </w:rPr>
  </w:style>
  <w:style w:type="paragraph" w:styleId="705">
    <w:name w:val="List Paragraph"/>
    <w:basedOn w:val="683"/>
    <w:uiPriority w:val="34"/>
    <w:qFormat/>
    <w:pPr>
      <w:pBdr/>
      <w:spacing/>
      <w:ind w:left="720"/>
      <w:contextualSpacing w:val="true"/>
    </w:pPr>
  </w:style>
  <w:style w:type="paragraph" w:styleId="706" w:customStyle="1">
    <w:name w:val="Default"/>
    <w:pPr>
      <w:pBdr/>
      <w:spacing/>
      <w:ind/>
    </w:pPr>
    <w:rPr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98FA5A-4E9F-4F96-A4F8-9FD373653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ADM</Company>
  <DocSecurity>0</DocSecurity>
  <HyperlinksChanged>false</HyperlinksChanged>
  <LinksUpToDate>false</LinksUpToDate>
  <ScaleCrop>false</ScaleCrop>
  <SharedDoc>false</SharedDoc>
  <Template>Novy1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lastModifiedBy>Anonymous</cp:lastModifiedBy>
  <cp:revision>13</cp:revision>
  <dcterms:created xsi:type="dcterms:W3CDTF">2024-10-24T08:20:00Z</dcterms:created>
  <dcterms:modified xsi:type="dcterms:W3CDTF">2025-02-05T07:03:54Z</dcterms:modified>
</cp:coreProperties>
</file>